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BB" w:rsidRPr="00BE24BD" w:rsidRDefault="009B7C26" w:rsidP="00C568BB">
      <w:pPr>
        <w:jc w:val="center"/>
        <w:rPr>
          <w:b/>
          <w:color w:val="FF0000"/>
          <w:sz w:val="24"/>
        </w:rPr>
      </w:pPr>
      <w:r w:rsidRPr="00BE24BD">
        <w:rPr>
          <w:b/>
          <w:color w:val="FF0000"/>
          <w:sz w:val="24"/>
        </w:rPr>
        <w:t>Global Health Pathway</w:t>
      </w:r>
      <w:r w:rsidR="00C568BB" w:rsidRPr="00BE24BD">
        <w:rPr>
          <w:b/>
          <w:color w:val="FF0000"/>
          <w:sz w:val="24"/>
        </w:rPr>
        <w:t xml:space="preserve"> Brief Overview</w:t>
      </w:r>
    </w:p>
    <w:p w:rsidR="00C568BB" w:rsidRDefault="00C568BB" w:rsidP="00C568BB">
      <w:pPr>
        <w:rPr>
          <w:b/>
        </w:rPr>
      </w:pPr>
      <w:bookmarkStart w:id="0" w:name="_GoBack"/>
      <w:bookmarkEnd w:id="0"/>
    </w:p>
    <w:p w:rsidR="00C568BB" w:rsidRPr="006E0A55" w:rsidRDefault="00C568BB" w:rsidP="00C568BB">
      <w:pPr>
        <w:rPr>
          <w:b/>
        </w:rPr>
      </w:pPr>
      <w:r w:rsidRPr="006E0A55">
        <w:rPr>
          <w:b/>
        </w:rPr>
        <w:t xml:space="preserve">What is the </w:t>
      </w:r>
      <w:r w:rsidR="00AF115C">
        <w:rPr>
          <w:b/>
        </w:rPr>
        <w:t>Global Health</w:t>
      </w:r>
      <w:r w:rsidR="005F4309">
        <w:rPr>
          <w:b/>
        </w:rPr>
        <w:t xml:space="preserve"> </w:t>
      </w:r>
      <w:r w:rsidR="00AF115C">
        <w:rPr>
          <w:b/>
        </w:rPr>
        <w:t xml:space="preserve">(GH) </w:t>
      </w:r>
      <w:r w:rsidR="005F4309">
        <w:rPr>
          <w:b/>
        </w:rPr>
        <w:t>Pathway</w:t>
      </w:r>
      <w:r w:rsidRPr="006E0A55">
        <w:rPr>
          <w:b/>
        </w:rPr>
        <w:t>?</w:t>
      </w:r>
    </w:p>
    <w:p w:rsidR="00C568BB" w:rsidRDefault="00AF115C" w:rsidP="00C568BB">
      <w:pPr>
        <w:rPr>
          <w:b/>
        </w:rPr>
      </w:pPr>
      <w:r>
        <w:t>The GH Pathway provides elective opportunities for residents interested in developing knowledge and experience in the field of global health and to help prepare residents interested in pursuing work or careers in global health after residency.</w:t>
      </w:r>
    </w:p>
    <w:p w:rsidR="00C568BB" w:rsidRPr="006E0A55" w:rsidRDefault="00C568BB" w:rsidP="00C568BB">
      <w:pPr>
        <w:rPr>
          <w:b/>
        </w:rPr>
      </w:pPr>
      <w:r w:rsidRPr="006E0A55">
        <w:rPr>
          <w:b/>
        </w:rPr>
        <w:t xml:space="preserve">Who should consider the </w:t>
      </w:r>
      <w:r w:rsidR="00B938BE">
        <w:rPr>
          <w:b/>
        </w:rPr>
        <w:t>GH</w:t>
      </w:r>
      <w:r w:rsidR="005F4309">
        <w:rPr>
          <w:b/>
        </w:rPr>
        <w:t xml:space="preserve"> Pathway</w:t>
      </w:r>
      <w:r w:rsidRPr="006E0A55">
        <w:rPr>
          <w:b/>
        </w:rPr>
        <w:t>?</w:t>
      </w:r>
    </w:p>
    <w:p w:rsidR="00C568BB" w:rsidRPr="00B938BE" w:rsidRDefault="00C568BB" w:rsidP="00C568BB">
      <w:r>
        <w:t xml:space="preserve">PL 2 &amp; PL 3 </w:t>
      </w:r>
      <w:r w:rsidR="005F4309">
        <w:t xml:space="preserve">residents should consider the </w:t>
      </w:r>
      <w:r w:rsidR="00B938BE">
        <w:t>GH pathway</w:t>
      </w:r>
      <w:r>
        <w:t xml:space="preserve"> if you’re interested in gaining </w:t>
      </w:r>
      <w:r w:rsidR="00B938BE">
        <w:t>experience and knowledge</w:t>
      </w:r>
      <w:r>
        <w:t xml:space="preserve"> related to </w:t>
      </w:r>
      <w:r w:rsidR="00B938BE">
        <w:t xml:space="preserve">global health, particularly caring for children living in low-income countries as well as caring for the diverse immigrant population here in Washington, DC.   Since the pathway contains no required rotations, residents in any track can participate.   </w:t>
      </w:r>
    </w:p>
    <w:p w:rsidR="00C568BB" w:rsidRPr="006E0A55" w:rsidRDefault="00C568BB" w:rsidP="00C568BB">
      <w:pPr>
        <w:rPr>
          <w:b/>
        </w:rPr>
      </w:pPr>
      <w:r w:rsidRPr="006E0A55">
        <w:rPr>
          <w:b/>
        </w:rPr>
        <w:t xml:space="preserve">What does </w:t>
      </w:r>
      <w:r>
        <w:rPr>
          <w:b/>
        </w:rPr>
        <w:t xml:space="preserve">the </w:t>
      </w:r>
      <w:r w:rsidR="00BE24BD">
        <w:rPr>
          <w:b/>
        </w:rPr>
        <w:t>GH Pathway</w:t>
      </w:r>
      <w:r w:rsidR="00BA4D2E">
        <w:rPr>
          <w:b/>
        </w:rPr>
        <w:t xml:space="preserve"> </w:t>
      </w:r>
      <w:r>
        <w:rPr>
          <w:b/>
        </w:rPr>
        <w:t xml:space="preserve"> have to offer?</w:t>
      </w:r>
    </w:p>
    <w:tbl>
      <w:tblPr>
        <w:tblStyle w:val="TableGrid"/>
        <w:tblW w:w="0" w:type="auto"/>
        <w:tblLook w:val="04A0"/>
      </w:tblPr>
      <w:tblGrid>
        <w:gridCol w:w="3192"/>
        <w:gridCol w:w="3192"/>
        <w:gridCol w:w="3192"/>
      </w:tblGrid>
      <w:tr w:rsidR="00C568BB" w:rsidRPr="00852EDD" w:rsidTr="003E1D81">
        <w:tc>
          <w:tcPr>
            <w:tcW w:w="3192" w:type="dxa"/>
          </w:tcPr>
          <w:p w:rsidR="00C568BB" w:rsidRPr="00852EDD" w:rsidRDefault="00B938BE" w:rsidP="003E1D81">
            <w:pPr>
              <w:jc w:val="center"/>
              <w:rPr>
                <w:b/>
                <w:color w:val="0070C0"/>
              </w:rPr>
            </w:pPr>
            <w:r>
              <w:rPr>
                <w:b/>
                <w:color w:val="0070C0"/>
              </w:rPr>
              <w:t>Didactic Curriculum</w:t>
            </w:r>
          </w:p>
        </w:tc>
        <w:tc>
          <w:tcPr>
            <w:tcW w:w="3192" w:type="dxa"/>
          </w:tcPr>
          <w:p w:rsidR="00C568BB" w:rsidRPr="00852EDD" w:rsidRDefault="00B938BE" w:rsidP="003E1D81">
            <w:pPr>
              <w:jc w:val="center"/>
              <w:rPr>
                <w:b/>
                <w:color w:val="0070C0"/>
              </w:rPr>
            </w:pPr>
            <w:r>
              <w:rPr>
                <w:b/>
                <w:color w:val="0070C0"/>
              </w:rPr>
              <w:t>International Experience</w:t>
            </w:r>
          </w:p>
        </w:tc>
        <w:tc>
          <w:tcPr>
            <w:tcW w:w="3192" w:type="dxa"/>
          </w:tcPr>
          <w:p w:rsidR="00C568BB" w:rsidRPr="00852EDD" w:rsidRDefault="00B938BE" w:rsidP="003E1D81">
            <w:pPr>
              <w:jc w:val="center"/>
              <w:rPr>
                <w:b/>
                <w:color w:val="0070C0"/>
              </w:rPr>
            </w:pPr>
            <w:r>
              <w:rPr>
                <w:b/>
                <w:color w:val="0070C0"/>
              </w:rPr>
              <w:t>Faculty Mentorship</w:t>
            </w:r>
          </w:p>
        </w:tc>
      </w:tr>
      <w:tr w:rsidR="00C568BB" w:rsidTr="003E1D81">
        <w:tc>
          <w:tcPr>
            <w:tcW w:w="3192" w:type="dxa"/>
          </w:tcPr>
          <w:p w:rsidR="00C568BB" w:rsidRDefault="00BE24BD" w:rsidP="00377052">
            <w:r>
              <w:t>Residents have the opportunity to complete the Introduction to Global Child Health course when in session or for independent study, as well as participate in and contribute to educational activities throughout residency.</w:t>
            </w:r>
          </w:p>
        </w:tc>
        <w:tc>
          <w:tcPr>
            <w:tcW w:w="3192" w:type="dxa"/>
          </w:tcPr>
          <w:p w:rsidR="00C568BB" w:rsidRDefault="00BE24BD" w:rsidP="003E1D81">
            <w:r>
              <w:t xml:space="preserve">International electives at various sites are possible during the second and/or  third years of residency, ranging from one to four weeks in duration.  </w:t>
            </w:r>
            <w:r w:rsidR="00377052">
              <w:t xml:space="preserve"> </w:t>
            </w:r>
            <w:r>
              <w:t>For residents unable to do an international elective, an elective in Immigrant Health is also offered.</w:t>
            </w:r>
          </w:p>
        </w:tc>
        <w:tc>
          <w:tcPr>
            <w:tcW w:w="3192" w:type="dxa"/>
          </w:tcPr>
          <w:p w:rsidR="00C568BB" w:rsidRDefault="00BE24BD" w:rsidP="00BE24BD">
            <w:r>
              <w:t>Global Health faculty mentors guide residents through the pathway, help prepare for and debrief from international electives, and provide support for residents developing their educational product. Mentorship is also provided for pursuing future work or careers in global health.</w:t>
            </w:r>
          </w:p>
        </w:tc>
      </w:tr>
    </w:tbl>
    <w:p w:rsidR="00C568BB" w:rsidRPr="00852EDD" w:rsidRDefault="00C568BB" w:rsidP="00C568BB"/>
    <w:p w:rsidR="00C568BB" w:rsidRDefault="00C568BB" w:rsidP="00C568BB">
      <w:pPr>
        <w:rPr>
          <w:b/>
        </w:rPr>
      </w:pPr>
      <w:r>
        <w:rPr>
          <w:b/>
        </w:rPr>
        <w:t>How can I participate?</w:t>
      </w:r>
    </w:p>
    <w:p w:rsidR="00C568BB" w:rsidRPr="009B0992" w:rsidRDefault="00D2563C" w:rsidP="00C568BB">
      <w:r>
        <w:t>Contact</w:t>
      </w:r>
      <w:r w:rsidR="00BA4D2E">
        <w:t xml:space="preserve"> </w:t>
      </w:r>
      <w:r w:rsidR="00BE24BD">
        <w:t xml:space="preserve">Melanie Anspacher </w:t>
      </w:r>
      <w:hyperlink r:id="rId5" w:history="1">
        <w:r w:rsidR="00BE24BD" w:rsidRPr="00AF0E8E">
          <w:rPr>
            <w:rStyle w:val="Hyperlink"/>
          </w:rPr>
          <w:t>manspach@cnmc.org</w:t>
        </w:r>
      </w:hyperlink>
      <w:r w:rsidR="00BE24BD">
        <w:t xml:space="preserve">  or</w:t>
      </w:r>
      <w:r w:rsidR="00C568BB">
        <w:t xml:space="preserve"> the Chief Residents </w:t>
      </w:r>
      <w:r w:rsidR="00BE24BD">
        <w:t>for more information.</w:t>
      </w:r>
      <w:r w:rsidR="00C568BB">
        <w:t xml:space="preserve">  </w:t>
      </w:r>
    </w:p>
    <w:sectPr w:rsidR="00C568BB" w:rsidRPr="009B0992" w:rsidSect="004D13C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B89"/>
    <w:multiLevelType w:val="hybridMultilevel"/>
    <w:tmpl w:val="532C1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88001E"/>
    <w:multiLevelType w:val="hybridMultilevel"/>
    <w:tmpl w:val="55B0ADB2"/>
    <w:lvl w:ilvl="0" w:tplc="A936FE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71C9E"/>
    <w:multiLevelType w:val="hybridMultilevel"/>
    <w:tmpl w:val="D748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C4A5B"/>
    <w:multiLevelType w:val="hybridMultilevel"/>
    <w:tmpl w:val="FABC9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FA7430"/>
    <w:multiLevelType w:val="hybridMultilevel"/>
    <w:tmpl w:val="45E6E918"/>
    <w:lvl w:ilvl="0" w:tplc="A936FE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241201"/>
    <w:multiLevelType w:val="hybridMultilevel"/>
    <w:tmpl w:val="CF7EA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266E7B"/>
    <w:multiLevelType w:val="hybridMultilevel"/>
    <w:tmpl w:val="4B8A80C8"/>
    <w:lvl w:ilvl="0" w:tplc="A936FE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C2A31"/>
    <w:multiLevelType w:val="hybridMultilevel"/>
    <w:tmpl w:val="FABC9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C30CA3"/>
    <w:multiLevelType w:val="hybridMultilevel"/>
    <w:tmpl w:val="F796F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4E5458"/>
    <w:multiLevelType w:val="hybridMultilevel"/>
    <w:tmpl w:val="039CCF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874334"/>
    <w:multiLevelType w:val="hybridMultilevel"/>
    <w:tmpl w:val="068E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5959C2"/>
    <w:multiLevelType w:val="hybridMultilevel"/>
    <w:tmpl w:val="58308680"/>
    <w:lvl w:ilvl="0" w:tplc="A936FE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AE7802"/>
    <w:multiLevelType w:val="hybridMultilevel"/>
    <w:tmpl w:val="5CC6A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3"/>
  </w:num>
  <w:num w:numId="4">
    <w:abstractNumId w:val="2"/>
  </w:num>
  <w:num w:numId="5">
    <w:abstractNumId w:val="8"/>
  </w:num>
  <w:num w:numId="6">
    <w:abstractNumId w:val="5"/>
  </w:num>
  <w:num w:numId="7">
    <w:abstractNumId w:val="9"/>
  </w:num>
  <w:num w:numId="8">
    <w:abstractNumId w:val="12"/>
  </w:num>
  <w:num w:numId="9">
    <w:abstractNumId w:val="0"/>
  </w:num>
  <w:num w:numId="10">
    <w:abstractNumId w:val="0"/>
    <w:lvlOverride w:ilvl="0">
      <w:lvl w:ilvl="0" w:tplc="0409000F">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4"/>
  </w:num>
  <w:num w:numId="12">
    <w:abstractNumId w:val="1"/>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5120"/>
    <w:rsid w:val="00014C58"/>
    <w:rsid w:val="00080012"/>
    <w:rsid w:val="000A29B0"/>
    <w:rsid w:val="00112B6B"/>
    <w:rsid w:val="00126E42"/>
    <w:rsid w:val="00193D8A"/>
    <w:rsid w:val="001A312E"/>
    <w:rsid w:val="001B175B"/>
    <w:rsid w:val="001C62FE"/>
    <w:rsid w:val="00232623"/>
    <w:rsid w:val="00245120"/>
    <w:rsid w:val="00273A3F"/>
    <w:rsid w:val="002B760D"/>
    <w:rsid w:val="00353470"/>
    <w:rsid w:val="00377052"/>
    <w:rsid w:val="004118CA"/>
    <w:rsid w:val="004271D9"/>
    <w:rsid w:val="004337F1"/>
    <w:rsid w:val="00435280"/>
    <w:rsid w:val="0044324D"/>
    <w:rsid w:val="004440AB"/>
    <w:rsid w:val="00461FB0"/>
    <w:rsid w:val="00492EA9"/>
    <w:rsid w:val="00494112"/>
    <w:rsid w:val="0049592E"/>
    <w:rsid w:val="004962DE"/>
    <w:rsid w:val="004D13C2"/>
    <w:rsid w:val="004E5B2C"/>
    <w:rsid w:val="00513CB5"/>
    <w:rsid w:val="00514020"/>
    <w:rsid w:val="005B2EBD"/>
    <w:rsid w:val="005F4309"/>
    <w:rsid w:val="0060153F"/>
    <w:rsid w:val="006D0C03"/>
    <w:rsid w:val="006D25BC"/>
    <w:rsid w:val="007108C4"/>
    <w:rsid w:val="0072274A"/>
    <w:rsid w:val="0074187E"/>
    <w:rsid w:val="0078078C"/>
    <w:rsid w:val="00817C1A"/>
    <w:rsid w:val="0087086F"/>
    <w:rsid w:val="00884182"/>
    <w:rsid w:val="008A4E7F"/>
    <w:rsid w:val="008F26F5"/>
    <w:rsid w:val="00916DE5"/>
    <w:rsid w:val="009B7C26"/>
    <w:rsid w:val="00A13197"/>
    <w:rsid w:val="00A52490"/>
    <w:rsid w:val="00A67E9F"/>
    <w:rsid w:val="00A76024"/>
    <w:rsid w:val="00AD7E3E"/>
    <w:rsid w:val="00AF115C"/>
    <w:rsid w:val="00B82CF1"/>
    <w:rsid w:val="00B938BE"/>
    <w:rsid w:val="00BA4D2E"/>
    <w:rsid w:val="00BE24BD"/>
    <w:rsid w:val="00C07053"/>
    <w:rsid w:val="00C568BB"/>
    <w:rsid w:val="00C573DA"/>
    <w:rsid w:val="00C81739"/>
    <w:rsid w:val="00C92610"/>
    <w:rsid w:val="00CB4CC8"/>
    <w:rsid w:val="00CD3B32"/>
    <w:rsid w:val="00D2563C"/>
    <w:rsid w:val="00D42B19"/>
    <w:rsid w:val="00D6378C"/>
    <w:rsid w:val="00D805C6"/>
    <w:rsid w:val="00D96DED"/>
    <w:rsid w:val="00DA2D61"/>
    <w:rsid w:val="00DF7806"/>
    <w:rsid w:val="00E93F43"/>
    <w:rsid w:val="00F20117"/>
    <w:rsid w:val="00F665CA"/>
    <w:rsid w:val="00F976BC"/>
    <w:rsid w:val="00FE5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120"/>
    <w:pPr>
      <w:ind w:left="720"/>
      <w:contextualSpacing/>
    </w:pPr>
  </w:style>
  <w:style w:type="table" w:styleId="TableGrid">
    <w:name w:val="Table Grid"/>
    <w:basedOn w:val="TableNormal"/>
    <w:uiPriority w:val="59"/>
    <w:rsid w:val="00245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245120"/>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245120"/>
    <w:rPr>
      <w:rFonts w:eastAsiaTheme="minorEastAsia"/>
      <w:sz w:val="20"/>
      <w:szCs w:val="20"/>
    </w:rPr>
  </w:style>
  <w:style w:type="character" w:styleId="Hyperlink">
    <w:name w:val="Hyperlink"/>
    <w:basedOn w:val="DefaultParagraphFont"/>
    <w:uiPriority w:val="99"/>
    <w:unhideWhenUsed/>
    <w:rsid w:val="00BA4D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120"/>
    <w:pPr>
      <w:ind w:left="720"/>
      <w:contextualSpacing/>
    </w:pPr>
  </w:style>
  <w:style w:type="table" w:styleId="TableGrid">
    <w:name w:val="Table Grid"/>
    <w:basedOn w:val="TableNormal"/>
    <w:uiPriority w:val="59"/>
    <w:rsid w:val="00245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245120"/>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245120"/>
    <w:rPr>
      <w:rFonts w:eastAsiaTheme="minorEastAsia"/>
      <w:sz w:val="20"/>
      <w:szCs w:val="20"/>
    </w:rPr>
  </w:style>
  <w:style w:type="character" w:styleId="Hyperlink">
    <w:name w:val="Hyperlink"/>
    <w:basedOn w:val="DefaultParagraphFont"/>
    <w:uiPriority w:val="99"/>
    <w:unhideWhenUsed/>
    <w:rsid w:val="00BA4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spach@cn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Aisha</dc:creator>
  <cp:lastModifiedBy>David Anspacher</cp:lastModifiedBy>
  <cp:revision>4</cp:revision>
  <dcterms:created xsi:type="dcterms:W3CDTF">2014-05-19T13:02:00Z</dcterms:created>
  <dcterms:modified xsi:type="dcterms:W3CDTF">2014-05-28T15:37:00Z</dcterms:modified>
</cp:coreProperties>
</file>